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ED56574" w14:textId="77777777" w:rsidR="00BF4F91" w:rsidRPr="00BF4F91" w:rsidRDefault="00BF4F91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BF4F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MAPA 20250004</w:t>
            </w:r>
          </w:p>
          <w:p w14:paraId="39E68D95" w14:textId="0BA1F3CD" w:rsidR="005C34B1" w:rsidRPr="00524D0B" w:rsidRDefault="00BF4F91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BF4F91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Travaux de rénovation du bâtiment Campanile ( R+1 et R+2)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578AD5E5" w14:textId="5ABCF3D0" w:rsidR="009312D9" w:rsidRPr="00D4462C" w:rsidRDefault="00D4462C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  <w:r w:rsidRPr="00D4462C"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  <w:t xml:space="preserve">Numéro de marché : </w:t>
      </w: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F209AD">
        <w:rPr>
          <w:rFonts w:ascii="Arial" w:hAnsi="Arial" w:cs="Arial"/>
          <w:sz w:val="22"/>
        </w:rPr>
      </w:r>
      <w:r w:rsidR="00F209AD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F209AD">
              <w:rPr>
                <w:rFonts w:ascii="Arial" w:hAnsi="Arial" w:cs="Arial"/>
              </w:rPr>
            </w:r>
            <w:r w:rsidR="00F209A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F209AD">
        <w:rPr>
          <w:rFonts w:ascii="Arial" w:hAnsi="Arial" w:cs="Arial"/>
        </w:rPr>
      </w:r>
      <w:r w:rsidR="00F209A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EF2B82B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F209AD">
        <w:rPr>
          <w:sz w:val="20"/>
          <w:szCs w:val="20"/>
        </w:rPr>
      </w:r>
      <w:r w:rsidR="00F209AD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proofErr w:type="spellStart"/>
      <w:r w:rsidRPr="00C70AB0">
        <w:rPr>
          <w:rFonts w:asciiTheme="minorHAnsi" w:hAnsiTheme="minorHAnsi" w:cstheme="minorHAnsi"/>
          <w:sz w:val="20"/>
          <w:szCs w:val="20"/>
          <w:lang w:val="fr-FR"/>
        </w:rPr>
        <w:t>public</w:t>
      </w:r>
      <w:proofErr w:type="spellEnd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131509E8" w:rsidR="004B07C4" w:rsidRDefault="00A52C7F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209AD">
        <w:rPr>
          <w:rFonts w:asciiTheme="minorHAnsi" w:hAnsiTheme="minorHAnsi" w:cstheme="minorHAnsi"/>
          <w:sz w:val="22"/>
          <w:szCs w:val="22"/>
        </w:rPr>
      </w:r>
      <w:r w:rsidR="00F209A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 </w:t>
      </w:r>
      <w:proofErr w:type="spellStart"/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>public</w:t>
      </w:r>
      <w:proofErr w:type="spellEnd"/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26C9BF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bookmarkStart w:id="8" w:name="_GoBack"/>
      <w:bookmarkEnd w:id="8"/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209AD">
        <w:rPr>
          <w:rFonts w:asciiTheme="minorHAnsi" w:hAnsiTheme="minorHAnsi" w:cstheme="minorHAnsi"/>
          <w:sz w:val="22"/>
          <w:szCs w:val="22"/>
        </w:rPr>
      </w:r>
      <w:r w:rsidR="00F209AD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F209AD">
        <w:rPr>
          <w:rFonts w:asciiTheme="minorHAnsi" w:hAnsiTheme="minorHAnsi" w:cstheme="minorHAnsi"/>
          <w:szCs w:val="22"/>
        </w:rPr>
      </w:r>
      <w:r w:rsidR="00F209AD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_Toc256000006"/>
      <w:bookmarkStart w:id="14" w:name="ArtL1_AE-3-A5"/>
      <w:bookmarkEnd w:id="12"/>
      <w:bookmarkEnd w:id="14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 w:rsidRPr="00BF4F91">
        <w:rPr>
          <w:rFonts w:asciiTheme="minorHAnsi" w:hAnsiTheme="minorHAnsi" w:cstheme="minorHAnsi"/>
          <w:sz w:val="20"/>
          <w:szCs w:val="20"/>
        </w:rPr>
      </w:r>
      <w:r w:rsidR="00F209AD" w:rsidRPr="00BF4F9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 w:rsidRPr="00BF4F91">
        <w:rPr>
          <w:rFonts w:asciiTheme="minorHAnsi" w:hAnsiTheme="minorHAnsi" w:cstheme="minorHAnsi"/>
          <w:sz w:val="20"/>
          <w:szCs w:val="20"/>
        </w:rPr>
      </w:r>
      <w:r w:rsidR="00F209AD" w:rsidRPr="00BF4F9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 w:rsidRPr="00BF4F91">
        <w:rPr>
          <w:rFonts w:asciiTheme="minorHAnsi" w:hAnsiTheme="minorHAnsi" w:cstheme="minorHAnsi"/>
          <w:sz w:val="20"/>
          <w:szCs w:val="20"/>
        </w:rPr>
      </w:r>
      <w:r w:rsidR="00F209AD" w:rsidRPr="00BF4F91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42464F89" w:rsidR="00EC475E" w:rsidRPr="00925731" w:rsidRDefault="00BF4F91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>L'exécution du marché débute à compter de la date de notification du contrat. L'exécution des travaux débute à compter de la date fixée par l'ordre de service prescrivant de commencer les travaux.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209AD">
              <w:rPr>
                <w:rFonts w:asciiTheme="minorHAnsi" w:hAnsiTheme="minorHAnsi" w:cstheme="minorHAnsi"/>
                <w:sz w:val="20"/>
                <w:szCs w:val="20"/>
              </w:rPr>
            </w:r>
            <w:r w:rsidR="00F209A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F209AD">
              <w:rPr>
                <w:rFonts w:asciiTheme="minorHAnsi" w:hAnsiTheme="minorHAnsi" w:cstheme="minorHAnsi"/>
                <w:sz w:val="20"/>
                <w:szCs w:val="20"/>
              </w:rPr>
            </w:r>
            <w:r w:rsidR="00F209A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209A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209AD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F209AD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F209AD">
        <w:rPr>
          <w:rFonts w:asciiTheme="minorHAnsi" w:hAnsiTheme="minorHAnsi" w:cstheme="minorHAnsi"/>
          <w:sz w:val="20"/>
          <w:szCs w:val="20"/>
        </w:rPr>
      </w:r>
      <w:r w:rsidR="00F209AD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F209AD" w:rsidRPr="00BF4F91">
              <w:rPr>
                <w:rFonts w:asciiTheme="minorHAnsi" w:hAnsiTheme="minorHAnsi" w:cstheme="minorHAnsi"/>
                <w:szCs w:val="20"/>
              </w:rPr>
            </w:r>
            <w:r w:rsidR="00F209AD" w:rsidRPr="00BF4F91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75583CDA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209A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F209AD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5841-8CAD-4142-B585-7E2BAA22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1529</Words>
  <Characters>8415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28</cp:revision>
  <dcterms:created xsi:type="dcterms:W3CDTF">2024-07-11T14:33:00Z</dcterms:created>
  <dcterms:modified xsi:type="dcterms:W3CDTF">2025-01-10T08:47:00Z</dcterms:modified>
</cp:coreProperties>
</file>